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09D" w:rsidRDefault="00F37B91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  <w:bookmarkStart w:id="0" w:name="_GoBack"/>
      <w:bookmarkEnd w:id="0"/>
      <w:r>
        <w:rPr>
          <w:rFonts w:ascii="方正大标宋_GBK" w:eastAsia="方正大标宋_GBK" w:hAnsi="方正大标宋_GBK" w:cs="方正大标宋_GBK" w:hint="eastAsia"/>
          <w:sz w:val="28"/>
          <w:szCs w:val="28"/>
        </w:rPr>
        <w:t>中华环境</w:t>
      </w:r>
      <w:proofErr w:type="gramStart"/>
      <w:r>
        <w:rPr>
          <w:rFonts w:ascii="方正大标宋_GBK" w:eastAsia="方正大标宋_GBK" w:hAnsi="方正大标宋_GBK" w:cs="方正大标宋_GBK" w:hint="eastAsia"/>
          <w:sz w:val="28"/>
          <w:szCs w:val="28"/>
        </w:rPr>
        <w:t>奖启动</w:t>
      </w:r>
      <w:proofErr w:type="gramEnd"/>
      <w:r>
        <w:rPr>
          <w:rFonts w:ascii="方正大标宋_GBK" w:eastAsia="方正大标宋_GBK" w:hAnsi="方正大标宋_GBK" w:cs="方正大标宋_GBK" w:hint="eastAsia"/>
          <w:sz w:val="28"/>
          <w:szCs w:val="28"/>
        </w:rPr>
        <w:t>及评审等综合工作需求</w:t>
      </w:r>
    </w:p>
    <w:tbl>
      <w:tblPr>
        <w:tblStyle w:val="a3"/>
        <w:tblW w:w="14544" w:type="dxa"/>
        <w:tblLook w:val="04A0" w:firstRow="1" w:lastRow="0" w:firstColumn="1" w:lastColumn="0" w:noHBand="0" w:noVBand="1"/>
      </w:tblPr>
      <w:tblGrid>
        <w:gridCol w:w="756"/>
        <w:gridCol w:w="1300"/>
        <w:gridCol w:w="1763"/>
        <w:gridCol w:w="6575"/>
        <w:gridCol w:w="4150"/>
      </w:tblGrid>
      <w:tr w:rsidR="00FC209D">
        <w:trPr>
          <w:trHeight w:val="389"/>
        </w:trPr>
        <w:tc>
          <w:tcPr>
            <w:tcW w:w="756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序号</w:t>
            </w:r>
          </w:p>
        </w:tc>
        <w:tc>
          <w:tcPr>
            <w:tcW w:w="130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类别</w:t>
            </w: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内容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详细内容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规模</w:t>
            </w: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/</w:t>
            </w: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数量</w:t>
            </w:r>
          </w:p>
        </w:tc>
      </w:tr>
      <w:tr w:rsidR="00FC209D">
        <w:trPr>
          <w:trHeight w:val="283"/>
        </w:trPr>
        <w:tc>
          <w:tcPr>
            <w:tcW w:w="756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</w:t>
            </w:r>
          </w:p>
        </w:tc>
        <w:tc>
          <w:tcPr>
            <w:tcW w:w="1300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启动工作</w:t>
            </w: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会议服务综合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工作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负责启动工作的协调、服务等综合会务工作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参会人数：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50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人以内</w:t>
            </w:r>
          </w:p>
        </w:tc>
      </w:tr>
      <w:tr w:rsidR="00FC209D">
        <w:trPr>
          <w:trHeight w:val="90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物料设计及制作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包括但不限于中华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环境奖主视觉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物料、布包等宣传物料、会议材料等设计制作综合工作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物料不少于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50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份</w:t>
            </w:r>
          </w:p>
        </w:tc>
      </w:tr>
      <w:tr w:rsidR="00FC209D">
        <w:trPr>
          <w:trHeight w:val="283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宣传推广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包括但不限于中华环境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奖主题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视频制作；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在央媒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、行业媒体等平台进行启动活动的宣传推广工作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主题视频不超过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分钟</w:t>
            </w:r>
          </w:p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央媒、行业媒体宣传不少于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家</w:t>
            </w:r>
          </w:p>
        </w:tc>
      </w:tr>
      <w:tr w:rsidR="00FC209D">
        <w:trPr>
          <w:trHeight w:val="90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协调配合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启动活动相关配套工作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/</w:t>
            </w:r>
          </w:p>
        </w:tc>
      </w:tr>
      <w:tr w:rsidR="00FC209D">
        <w:trPr>
          <w:trHeight w:val="545"/>
        </w:trPr>
        <w:tc>
          <w:tcPr>
            <w:tcW w:w="756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</w:t>
            </w:r>
          </w:p>
        </w:tc>
        <w:tc>
          <w:tcPr>
            <w:tcW w:w="1300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评审工作</w:t>
            </w: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会议服务综合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工作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负责评审工作的场地预订、综合协调及配合等综合会务工作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会议不少于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次</w:t>
            </w:r>
          </w:p>
        </w:tc>
      </w:tr>
      <w:tr w:rsidR="00FC209D">
        <w:trPr>
          <w:trHeight w:val="283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参会嘉宾综合服务保障工作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负责参会嘉宾的综合服务保障，包括但不限于劳务费发放等工作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累计约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100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人次</w:t>
            </w:r>
          </w:p>
        </w:tc>
      </w:tr>
      <w:tr w:rsidR="00FC209D">
        <w:trPr>
          <w:trHeight w:val="595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物料设计及制作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包括但不限于布包等宣传物料、会议材料设计及制作等综合工作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累计约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100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人次</w:t>
            </w:r>
          </w:p>
        </w:tc>
      </w:tr>
      <w:tr w:rsidR="00FC209D">
        <w:trPr>
          <w:trHeight w:val="485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协调配合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评审工作相关配套工作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/</w:t>
            </w:r>
          </w:p>
        </w:tc>
      </w:tr>
      <w:tr w:rsidR="00FC209D">
        <w:trPr>
          <w:trHeight w:val="786"/>
        </w:trPr>
        <w:tc>
          <w:tcPr>
            <w:tcW w:w="756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3</w:t>
            </w:r>
          </w:p>
        </w:tc>
        <w:tc>
          <w:tcPr>
            <w:tcW w:w="1300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宣传工作</w:t>
            </w: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主题宣传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围绕中华环境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奖开展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主题宣传等工作，包括但不限于媒体邀请、宣传物料的编辑及设计等综合内容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累计不少于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次</w:t>
            </w:r>
          </w:p>
        </w:tc>
      </w:tr>
      <w:tr w:rsidR="00FC209D">
        <w:trPr>
          <w:trHeight w:val="515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新媒体运营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根据相应政策要求及具体工作进展，配合开展公众号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及微博等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媒体运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lastRenderedPageBreak/>
              <w:t>营工作，发布相关新闻。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lastRenderedPageBreak/>
              <w:t>累计约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次</w:t>
            </w:r>
          </w:p>
        </w:tc>
      </w:tr>
      <w:tr w:rsidR="00FC209D">
        <w:trPr>
          <w:trHeight w:val="283"/>
        </w:trPr>
        <w:tc>
          <w:tcPr>
            <w:tcW w:w="756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00" w:type="dxa"/>
            <w:vMerge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视频类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中华环境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奖记录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视频制作、获奖者视频整理及编辑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记录视频时长不超过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分钟。累计不超过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25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个获奖者视频，每个不超过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分钟</w:t>
            </w:r>
          </w:p>
        </w:tc>
      </w:tr>
      <w:tr w:rsidR="00FC209D">
        <w:trPr>
          <w:trHeight w:val="283"/>
        </w:trPr>
        <w:tc>
          <w:tcPr>
            <w:tcW w:w="756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4</w:t>
            </w:r>
          </w:p>
        </w:tc>
        <w:tc>
          <w:tcPr>
            <w:tcW w:w="1300" w:type="dxa"/>
            <w:vMerge w:val="restart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配套工作</w:t>
            </w: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考察会务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承担考察工作会务工作。包括但不限于差旅协调、劳务费、租车等杂项工作</w:t>
            </w:r>
          </w:p>
        </w:tc>
        <w:tc>
          <w:tcPr>
            <w:tcW w:w="415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考察次数不超过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次</w:t>
            </w:r>
          </w:p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考察人数不超过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人次</w:t>
            </w:r>
          </w:p>
        </w:tc>
      </w:tr>
      <w:tr w:rsidR="00FC209D">
        <w:trPr>
          <w:trHeight w:val="645"/>
        </w:trPr>
        <w:tc>
          <w:tcPr>
            <w:tcW w:w="756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5</w:t>
            </w:r>
          </w:p>
        </w:tc>
        <w:tc>
          <w:tcPr>
            <w:tcW w:w="130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其他工作</w:t>
            </w:r>
          </w:p>
        </w:tc>
        <w:tc>
          <w:tcPr>
            <w:tcW w:w="1763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综合事项</w:t>
            </w:r>
          </w:p>
        </w:tc>
        <w:tc>
          <w:tcPr>
            <w:tcW w:w="6575" w:type="dxa"/>
            <w:vAlign w:val="center"/>
          </w:tcPr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根据具体工作需求，配合项目周期内相关工作执行</w:t>
            </w:r>
          </w:p>
        </w:tc>
        <w:tc>
          <w:tcPr>
            <w:tcW w:w="4150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FC209D">
        <w:trPr>
          <w:trHeight w:val="645"/>
        </w:trPr>
        <w:tc>
          <w:tcPr>
            <w:tcW w:w="756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6</w:t>
            </w:r>
          </w:p>
        </w:tc>
        <w:tc>
          <w:tcPr>
            <w:tcW w:w="3063" w:type="dxa"/>
            <w:gridSpan w:val="2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说明</w:t>
            </w:r>
          </w:p>
        </w:tc>
        <w:tc>
          <w:tcPr>
            <w:tcW w:w="10725" w:type="dxa"/>
            <w:gridSpan w:val="2"/>
            <w:vAlign w:val="center"/>
          </w:tcPr>
          <w:p w:rsidR="00FC209D" w:rsidRDefault="00F37B91">
            <w:pPr>
              <w:numPr>
                <w:ilvl w:val="255"/>
                <w:numId w:val="0"/>
              </w:numPr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以上内容费用测算依据如下：</w:t>
            </w:r>
          </w:p>
          <w:p w:rsidR="00FC209D" w:rsidRDefault="00F37B91">
            <w:pPr>
              <w:numPr>
                <w:ilvl w:val="255"/>
                <w:numId w:val="0"/>
              </w:numPr>
              <w:jc w:val="left"/>
              <w:rPr>
                <w:rFonts w:asciiTheme="minorEastAsia" w:eastAsiaTheme="minorEastAsia" w:hAnsiTheme="minorEastAsia" w:cstheme="minorEastAsia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会议费参照：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《中央和国家机关会议费管理办法》；</w:t>
            </w:r>
          </w:p>
          <w:p w:rsidR="00FC209D" w:rsidRDefault="00F37B91">
            <w:pPr>
              <w:numPr>
                <w:ilvl w:val="255"/>
                <w:numId w:val="0"/>
              </w:numPr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劳务费参照：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高级专业技术职称人员的专家咨询费标准为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1500-2400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元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人天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(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税后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)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；</w:t>
            </w:r>
          </w:p>
          <w:p w:rsidR="00FC209D" w:rsidRDefault="00F37B91">
            <w:pPr>
              <w:ind w:firstLineChars="0" w:firstLine="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/>
                <w:szCs w:val="24"/>
              </w:rPr>
              <w:t>.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差旅费按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照《中央国家机关和事业单位差旅费管理办法》。</w:t>
            </w:r>
          </w:p>
        </w:tc>
      </w:tr>
    </w:tbl>
    <w:p w:rsidR="00FC209D" w:rsidRDefault="00FC209D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</w:p>
    <w:p w:rsidR="00FC209D" w:rsidRDefault="00FC209D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</w:p>
    <w:p w:rsidR="00FC209D" w:rsidRDefault="00FC209D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</w:p>
    <w:p w:rsidR="00FC209D" w:rsidRDefault="00FC209D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</w:p>
    <w:p w:rsidR="00FC209D" w:rsidRDefault="00FC209D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</w:p>
    <w:p w:rsidR="00FC209D" w:rsidRDefault="00FC209D">
      <w:pPr>
        <w:ind w:firstLineChars="0" w:firstLine="0"/>
        <w:rPr>
          <w:rFonts w:ascii="方正大标宋_GBK" w:eastAsia="方正大标宋_GBK" w:hAnsi="方正大标宋_GBK" w:cs="方正大标宋_GBK"/>
          <w:sz w:val="28"/>
          <w:szCs w:val="28"/>
        </w:rPr>
      </w:pPr>
    </w:p>
    <w:p w:rsidR="00FC209D" w:rsidRDefault="00F37B91">
      <w:pPr>
        <w:ind w:firstLineChars="0" w:firstLine="0"/>
        <w:jc w:val="center"/>
        <w:rPr>
          <w:rFonts w:ascii="方正大标宋_GBK" w:eastAsia="方正大标宋_GBK" w:hAnsi="方正大标宋_GBK" w:cs="方正大标宋_GBK"/>
          <w:sz w:val="28"/>
          <w:szCs w:val="28"/>
        </w:rPr>
      </w:pPr>
      <w:r>
        <w:rPr>
          <w:rFonts w:ascii="方正大标宋_GBK" w:eastAsia="方正大标宋_GBK" w:hAnsi="方正大标宋_GBK" w:cs="方正大标宋_GBK" w:hint="eastAsia"/>
          <w:sz w:val="28"/>
          <w:szCs w:val="28"/>
        </w:rPr>
        <w:t>中华环境</w:t>
      </w:r>
      <w:proofErr w:type="gramStart"/>
      <w:r>
        <w:rPr>
          <w:rFonts w:ascii="方正大标宋_GBK" w:eastAsia="方正大标宋_GBK" w:hAnsi="方正大标宋_GBK" w:cs="方正大标宋_GBK" w:hint="eastAsia"/>
          <w:sz w:val="28"/>
          <w:szCs w:val="28"/>
        </w:rPr>
        <w:t>奖启动</w:t>
      </w:r>
      <w:proofErr w:type="gramEnd"/>
      <w:r>
        <w:rPr>
          <w:rFonts w:ascii="方正大标宋_GBK" w:eastAsia="方正大标宋_GBK" w:hAnsi="方正大标宋_GBK" w:cs="方正大标宋_GBK" w:hint="eastAsia"/>
          <w:sz w:val="28"/>
          <w:szCs w:val="28"/>
        </w:rPr>
        <w:t>及评审等综合工作预算表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44"/>
        <w:gridCol w:w="3012"/>
        <w:gridCol w:w="2400"/>
        <w:gridCol w:w="5009"/>
        <w:gridCol w:w="2792"/>
      </w:tblGrid>
      <w:tr w:rsidR="00FC209D">
        <w:trPr>
          <w:trHeight w:val="636"/>
        </w:trPr>
        <w:tc>
          <w:tcPr>
            <w:tcW w:w="744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序号</w:t>
            </w:r>
          </w:p>
        </w:tc>
        <w:tc>
          <w:tcPr>
            <w:tcW w:w="3012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类别</w:t>
            </w:r>
          </w:p>
        </w:tc>
        <w:tc>
          <w:tcPr>
            <w:tcW w:w="2400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内容</w:t>
            </w:r>
          </w:p>
        </w:tc>
        <w:tc>
          <w:tcPr>
            <w:tcW w:w="5009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测算依据</w:t>
            </w:r>
          </w:p>
        </w:tc>
        <w:tc>
          <w:tcPr>
            <w:tcW w:w="2792" w:type="dxa"/>
            <w:vAlign w:val="center"/>
          </w:tcPr>
          <w:p w:rsidR="00FC209D" w:rsidRDefault="00F37B91">
            <w:pPr>
              <w:ind w:firstLineChars="0" w:firstLine="0"/>
              <w:jc w:val="center"/>
              <w:rPr>
                <w:rFonts w:ascii="方正大标宋_GBK" w:eastAsia="方正大标宋_GBK" w:hAnsi="方正大标宋_GBK" w:cs="方正大标宋_GBK"/>
                <w:szCs w:val="24"/>
              </w:rPr>
            </w:pPr>
            <w:r>
              <w:rPr>
                <w:rFonts w:ascii="方正大标宋_GBK" w:eastAsia="方正大标宋_GBK" w:hAnsi="方正大标宋_GBK" w:cs="方正大标宋_GBK" w:hint="eastAsia"/>
                <w:szCs w:val="24"/>
              </w:rPr>
              <w:t>小计（元）</w:t>
            </w:r>
          </w:p>
        </w:tc>
      </w:tr>
      <w:tr w:rsidR="00FC209D">
        <w:trPr>
          <w:trHeight w:val="636"/>
        </w:trPr>
        <w:tc>
          <w:tcPr>
            <w:tcW w:w="744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1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5009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79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FC209D">
        <w:trPr>
          <w:trHeight w:val="636"/>
        </w:trPr>
        <w:tc>
          <w:tcPr>
            <w:tcW w:w="744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1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5009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79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FC209D">
        <w:trPr>
          <w:trHeight w:val="636"/>
        </w:trPr>
        <w:tc>
          <w:tcPr>
            <w:tcW w:w="744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1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5009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79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FC209D">
        <w:trPr>
          <w:trHeight w:val="646"/>
        </w:trPr>
        <w:tc>
          <w:tcPr>
            <w:tcW w:w="744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1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5009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2792" w:type="dxa"/>
            <w:vAlign w:val="center"/>
          </w:tcPr>
          <w:p w:rsidR="00FC209D" w:rsidRDefault="00FC209D">
            <w:pPr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</w:tbl>
    <w:p w:rsidR="00FC209D" w:rsidRDefault="00F37B91">
      <w:pPr>
        <w:ind w:firstLineChars="0" w:firstLine="0"/>
        <w:rPr>
          <w:rFonts w:asciiTheme="minorEastAsia" w:eastAsiaTheme="minorEastAsia" w:hAnsiTheme="minorEastAsia" w:cstheme="minorEastAsia"/>
          <w:color w:val="C00000"/>
          <w:szCs w:val="24"/>
        </w:rPr>
      </w:pPr>
      <w:r>
        <w:rPr>
          <w:rFonts w:asciiTheme="minorEastAsia" w:eastAsiaTheme="minorEastAsia" w:hAnsiTheme="minorEastAsia" w:cstheme="minorEastAsia" w:hint="eastAsia"/>
          <w:color w:val="C00000"/>
          <w:szCs w:val="24"/>
        </w:rPr>
        <w:t>备注：</w:t>
      </w:r>
    </w:p>
    <w:p w:rsidR="00FC209D" w:rsidRDefault="00F37B91">
      <w:pPr>
        <w:numPr>
          <w:ilvl w:val="0"/>
          <w:numId w:val="1"/>
        </w:numPr>
        <w:ind w:firstLineChars="0" w:firstLine="0"/>
        <w:rPr>
          <w:rFonts w:asciiTheme="minorEastAsia" w:eastAsiaTheme="minorEastAsia" w:hAnsiTheme="minorEastAsia" w:cstheme="minorEastAsia"/>
          <w:szCs w:val="24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会议费参照：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《中央和国家机关会议费管理办法》；</w:t>
      </w:r>
    </w:p>
    <w:p w:rsidR="00FC209D" w:rsidRDefault="00F37B91">
      <w:pPr>
        <w:ind w:firstLineChars="0" w:firstLine="0"/>
        <w:rPr>
          <w:rFonts w:asciiTheme="minorEastAsia" w:eastAsiaTheme="minorEastAsia" w:hAnsiTheme="minorEastAsia" w:cstheme="minorEastAsia"/>
          <w:szCs w:val="24"/>
          <w:highlight w:val="yellow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2.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劳务费参照：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高级专业技术职称人员的专家咨询费标准为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1500-2400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元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/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人天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(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税后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)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；</w:t>
      </w:r>
    </w:p>
    <w:p w:rsidR="00FC209D" w:rsidRDefault="00F37B91">
      <w:pPr>
        <w:ind w:firstLineChars="0" w:firstLine="0"/>
        <w:rPr>
          <w:rFonts w:ascii="黑体" w:eastAsia="黑体" w:hAnsi="黑体" w:cs="黑体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3.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差旅费按照：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《中央国家机关和事业单位差旅费管理办法》。</w:t>
      </w:r>
    </w:p>
    <w:sectPr w:rsidR="00FC20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B91" w:rsidRDefault="00F37B91">
      <w:pPr>
        <w:spacing w:line="240" w:lineRule="auto"/>
        <w:ind w:firstLine="480"/>
      </w:pPr>
      <w:r>
        <w:separator/>
      </w:r>
    </w:p>
  </w:endnote>
  <w:endnote w:type="continuationSeparator" w:id="0">
    <w:p w:rsidR="00F37B91" w:rsidRDefault="00F37B9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_GBK">
    <w:charset w:val="86"/>
    <w:family w:val="auto"/>
    <w:pitch w:val="default"/>
    <w:sig w:usb0="A00002BF" w:usb1="08CF7CFA" w:usb2="00000000" w:usb3="00000000" w:csb0="00040001" w:csb1="00000000"/>
    <w:embedRegular r:id="rId1" w:subsetted="1" w:fontKey="{96F473F1-1D94-40DF-9165-8862DD555A0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640" w:rsidRDefault="002E4640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640" w:rsidRDefault="002E4640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640" w:rsidRDefault="002E4640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B91" w:rsidRDefault="00F37B91">
      <w:pPr>
        <w:ind w:firstLine="480"/>
      </w:pPr>
      <w:r>
        <w:separator/>
      </w:r>
    </w:p>
  </w:footnote>
  <w:footnote w:type="continuationSeparator" w:id="0">
    <w:p w:rsidR="00F37B91" w:rsidRDefault="00F37B91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640" w:rsidRDefault="002E464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640" w:rsidRDefault="002E4640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640" w:rsidRDefault="002E4640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1A2A8A"/>
    <w:multiLevelType w:val="singleLevel"/>
    <w:tmpl w:val="9C1A2A8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wM2ZiYzNiNGRkNTJkNThjODQzYjUzZDgwZTU4OTEifQ=="/>
  </w:docVars>
  <w:rsids>
    <w:rsidRoot w:val="3C666DEE"/>
    <w:rsid w:val="002E4640"/>
    <w:rsid w:val="00F37B91"/>
    <w:rsid w:val="00FC209D"/>
    <w:rsid w:val="05D90BCF"/>
    <w:rsid w:val="083172CA"/>
    <w:rsid w:val="0A87490C"/>
    <w:rsid w:val="11A622AD"/>
    <w:rsid w:val="12E76332"/>
    <w:rsid w:val="16CD6B0A"/>
    <w:rsid w:val="174455EF"/>
    <w:rsid w:val="1B0342CC"/>
    <w:rsid w:val="1B4B7A22"/>
    <w:rsid w:val="1F06508C"/>
    <w:rsid w:val="226B2C85"/>
    <w:rsid w:val="23B51EDC"/>
    <w:rsid w:val="23CE6114"/>
    <w:rsid w:val="242D221B"/>
    <w:rsid w:val="245217CB"/>
    <w:rsid w:val="2E225411"/>
    <w:rsid w:val="2EE07091"/>
    <w:rsid w:val="314A68F7"/>
    <w:rsid w:val="34083583"/>
    <w:rsid w:val="34DA79F4"/>
    <w:rsid w:val="35D5548A"/>
    <w:rsid w:val="3BDF67F7"/>
    <w:rsid w:val="3C294A63"/>
    <w:rsid w:val="3C666DEE"/>
    <w:rsid w:val="3CFB001A"/>
    <w:rsid w:val="403B1563"/>
    <w:rsid w:val="44103433"/>
    <w:rsid w:val="441477C8"/>
    <w:rsid w:val="447F5FC6"/>
    <w:rsid w:val="453977C0"/>
    <w:rsid w:val="48166563"/>
    <w:rsid w:val="48BF0F83"/>
    <w:rsid w:val="4D695626"/>
    <w:rsid w:val="4E82159C"/>
    <w:rsid w:val="50C51B5E"/>
    <w:rsid w:val="51ED6B61"/>
    <w:rsid w:val="52D007F0"/>
    <w:rsid w:val="54DA32C1"/>
    <w:rsid w:val="57450D3D"/>
    <w:rsid w:val="59683FFD"/>
    <w:rsid w:val="5A944D8D"/>
    <w:rsid w:val="5C59354A"/>
    <w:rsid w:val="5C757C36"/>
    <w:rsid w:val="5E1C2B0B"/>
    <w:rsid w:val="6182780A"/>
    <w:rsid w:val="62103BE9"/>
    <w:rsid w:val="62255EA3"/>
    <w:rsid w:val="63FC2C34"/>
    <w:rsid w:val="64EE0D36"/>
    <w:rsid w:val="657A738D"/>
    <w:rsid w:val="6C680B1D"/>
    <w:rsid w:val="6D22461C"/>
    <w:rsid w:val="6EFF69EB"/>
    <w:rsid w:val="701B51E5"/>
    <w:rsid w:val="70BD199D"/>
    <w:rsid w:val="713C1988"/>
    <w:rsid w:val="726F7F31"/>
    <w:rsid w:val="7A213C7F"/>
    <w:rsid w:val="7EED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EB471B-F1B5-4407-AE9B-5721455C1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pacing w:line="312" w:lineRule="auto"/>
      <w:ind w:firstLineChars="200" w:firstLine="200"/>
      <w:jc w:val="both"/>
    </w:pPr>
    <w:rPr>
      <w:rFonts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ind w:firstLineChars="0" w:firstLine="0"/>
      <w:jc w:val="center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ind w:firstLineChars="0" w:firstLine="0"/>
      <w:outlineLvl w:val="1"/>
    </w:pPr>
    <w:rPr>
      <w:rFonts w:eastAsia="黑体"/>
      <w:bCs/>
      <w:kern w:val="0"/>
      <w:sz w:val="28"/>
      <w:szCs w:val="32"/>
    </w:rPr>
  </w:style>
  <w:style w:type="paragraph" w:styleId="3">
    <w:name w:val="heading 3"/>
    <w:basedOn w:val="a"/>
    <w:next w:val="a"/>
    <w:link w:val="30"/>
    <w:autoRedefine/>
    <w:semiHidden/>
    <w:unhideWhenUsed/>
    <w:qFormat/>
    <w:pPr>
      <w:keepNext/>
      <w:keepLines/>
      <w:ind w:firstLineChars="0" w:firstLine="0"/>
      <w:outlineLvl w:val="2"/>
    </w:pPr>
    <w:rPr>
      <w:rFonts w:eastAsia="黑体"/>
      <w:bCs/>
      <w:kern w:val="0"/>
      <w:szCs w:val="32"/>
    </w:rPr>
  </w:style>
  <w:style w:type="paragraph" w:styleId="4">
    <w:name w:val="heading 4"/>
    <w:basedOn w:val="a"/>
    <w:next w:val="a"/>
    <w:link w:val="40"/>
    <w:autoRedefine/>
    <w:semiHidden/>
    <w:unhideWhenUsed/>
    <w:qFormat/>
    <w:pPr>
      <w:keepNext/>
      <w:keepLines/>
      <w:ind w:firstLineChars="0" w:firstLine="0"/>
      <w:outlineLvl w:val="3"/>
    </w:pPr>
    <w:rPr>
      <w:rFonts w:ascii="Cambria" w:eastAsia="楷体" w:hAnsi="Cambria"/>
      <w:bCs/>
      <w:szCs w:val="28"/>
    </w:rPr>
  </w:style>
  <w:style w:type="paragraph" w:styleId="5">
    <w:name w:val="heading 5"/>
    <w:basedOn w:val="a"/>
    <w:next w:val="a"/>
    <w:link w:val="50"/>
    <w:autoRedefine/>
    <w:semiHidden/>
    <w:unhideWhenUsed/>
    <w:qFormat/>
    <w:pPr>
      <w:keepNext/>
      <w:keepLines/>
      <w:widowControl/>
      <w:wordWrap w:val="0"/>
      <w:spacing w:line="360" w:lineRule="exact"/>
      <w:ind w:hangingChars="200" w:hanging="480"/>
      <w:outlineLvl w:val="4"/>
    </w:pPr>
    <w:rPr>
      <w:bCs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toc 6"/>
    <w:basedOn w:val="a"/>
    <w:next w:val="a"/>
    <w:autoRedefine/>
    <w:qFormat/>
    <w:pPr>
      <w:ind w:leftChars="1000" w:left="2100"/>
    </w:pPr>
    <w:rPr>
      <w:rFonts w:ascii="Calibri" w:eastAsia="楷体" w:hAnsi="Calibri"/>
    </w:rPr>
  </w:style>
  <w:style w:type="table" w:styleId="a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autoRedefine/>
    <w:uiPriority w:val="9"/>
    <w:qFormat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link w:val="2"/>
    <w:autoRedefine/>
    <w:uiPriority w:val="9"/>
    <w:qFormat/>
    <w:rPr>
      <w:rFonts w:ascii="Times New Roman" w:eastAsia="黑体" w:hAnsi="Times New Roman" w:cs="Times New Roman"/>
      <w:bCs/>
      <w:sz w:val="28"/>
      <w:szCs w:val="32"/>
    </w:rPr>
  </w:style>
  <w:style w:type="character" w:customStyle="1" w:styleId="30">
    <w:name w:val="标题 3 字符"/>
    <w:link w:val="3"/>
    <w:autoRedefine/>
    <w:uiPriority w:val="9"/>
    <w:qFormat/>
    <w:rPr>
      <w:rFonts w:ascii="Times New Roman" w:eastAsia="黑体" w:hAnsi="Times New Roman"/>
      <w:bCs/>
      <w:sz w:val="24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="Cambria" w:eastAsia="楷体" w:hAnsi="Cambria"/>
      <w:bCs/>
      <w:kern w:val="2"/>
      <w:sz w:val="24"/>
      <w:szCs w:val="28"/>
    </w:rPr>
  </w:style>
  <w:style w:type="character" w:customStyle="1" w:styleId="50">
    <w:name w:val="标题 5 字符"/>
    <w:basedOn w:val="a0"/>
    <w:link w:val="5"/>
    <w:autoRedefine/>
    <w:uiPriority w:val="9"/>
    <w:qFormat/>
    <w:rPr>
      <w:rFonts w:eastAsia="宋体"/>
      <w:bCs/>
      <w:kern w:val="2"/>
      <w:sz w:val="21"/>
      <w:szCs w:val="28"/>
    </w:rPr>
  </w:style>
  <w:style w:type="paragraph" w:customStyle="1" w:styleId="21">
    <w:name w:val="样式2"/>
    <w:basedOn w:val="a"/>
    <w:next w:val="a"/>
    <w:autoRedefine/>
    <w:qFormat/>
    <w:pPr>
      <w:keepNext/>
      <w:keepLines/>
      <w:jc w:val="center"/>
      <w:outlineLvl w:val="0"/>
    </w:pPr>
    <w:rPr>
      <w:rFonts w:eastAsia="华文中宋" w:hint="eastAsia"/>
      <w:bCs/>
      <w:kern w:val="44"/>
      <w:sz w:val="32"/>
      <w:szCs w:val="44"/>
    </w:rPr>
  </w:style>
  <w:style w:type="paragraph" w:customStyle="1" w:styleId="31">
    <w:name w:val="样式3"/>
    <w:basedOn w:val="a"/>
    <w:next w:val="a"/>
    <w:autoRedefine/>
    <w:qFormat/>
    <w:pPr>
      <w:keepNext/>
      <w:keepLines/>
      <w:jc w:val="center"/>
      <w:outlineLvl w:val="0"/>
    </w:pPr>
    <w:rPr>
      <w:rFonts w:eastAsia="华文中宋" w:hint="eastAsia"/>
      <w:bCs/>
      <w:kern w:val="44"/>
      <w:sz w:val="36"/>
      <w:szCs w:val="44"/>
    </w:rPr>
  </w:style>
  <w:style w:type="paragraph" w:customStyle="1" w:styleId="a4">
    <w:name w:val="公文标题"/>
    <w:basedOn w:val="a"/>
    <w:next w:val="a"/>
    <w:autoRedefine/>
    <w:qFormat/>
    <w:pPr>
      <w:keepNext/>
      <w:keepLines/>
      <w:jc w:val="center"/>
      <w:outlineLvl w:val="0"/>
    </w:pPr>
    <w:rPr>
      <w:rFonts w:eastAsia="华文中宋" w:hint="eastAsia"/>
      <w:bCs/>
      <w:kern w:val="44"/>
      <w:sz w:val="36"/>
      <w:szCs w:val="44"/>
    </w:rPr>
  </w:style>
  <w:style w:type="paragraph" w:styleId="a5">
    <w:name w:val="header"/>
    <w:basedOn w:val="a"/>
    <w:link w:val="a6"/>
    <w:rsid w:val="002E4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E4640"/>
    <w:rPr>
      <w:rFonts w:cstheme="minorBidi"/>
      <w:kern w:val="2"/>
      <w:sz w:val="18"/>
      <w:szCs w:val="18"/>
    </w:rPr>
  </w:style>
  <w:style w:type="paragraph" w:styleId="a7">
    <w:name w:val="footer"/>
    <w:basedOn w:val="a"/>
    <w:link w:val="a8"/>
    <w:rsid w:val="002E464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E4640"/>
    <w:rPr>
      <w:rFonts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151</Words>
  <Characters>865</Characters>
  <Application>Microsoft Office Word</Application>
  <DocSecurity>0</DocSecurity>
  <Lines>7</Lines>
  <Paragraphs>2</Paragraphs>
  <ScaleCrop>false</ScaleCrop>
  <Company>HP Inc.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张瑞</dc:creator>
  <cp:lastModifiedBy>刘慧雯</cp:lastModifiedBy>
  <cp:revision>2</cp:revision>
  <dcterms:created xsi:type="dcterms:W3CDTF">2024-04-10T08:03:00Z</dcterms:created>
  <dcterms:modified xsi:type="dcterms:W3CDTF">2024-04-10T08:03:00Z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B4DE6D1F5F214D9E9CD3C970EB6248A3_13</vt:lpwstr>
  </property>
</Properties>
</file>